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06DB6842" w:rsidR="005D0508" w:rsidRPr="00FE2FE4" w:rsidRDefault="006718A0" w:rsidP="0047391C">
      <w:pPr>
        <w:ind w:left="0"/>
        <w:rPr>
          <w:rFonts w:ascii="Arial" w:hAnsi="Arial" w:cs="Arial"/>
          <w:b/>
          <w:sz w:val="28"/>
          <w:szCs w:val="28"/>
        </w:rPr>
      </w:pPr>
      <w:r>
        <w:rPr>
          <w:rFonts w:ascii="Arial" w:hAnsi="Arial" w:cs="Arial"/>
          <w:b/>
          <w:bCs/>
          <w:sz w:val="28"/>
          <w:szCs w:val="28"/>
        </w:rPr>
        <w:t>CALVERT GREEN PARISH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523376A9" w14:textId="1EEE832A" w:rsidR="005E1BB0" w:rsidRPr="006718A0" w:rsidRDefault="006718A0" w:rsidP="0047391C">
      <w:pPr>
        <w:pStyle w:val="ListParagraph"/>
        <w:numPr>
          <w:ilvl w:val="2"/>
          <w:numId w:val="1"/>
        </w:numPr>
        <w:ind w:left="0" w:firstLine="0"/>
        <w:rPr>
          <w:rFonts w:ascii="Arial" w:hAnsi="Arial" w:cs="Arial"/>
        </w:rPr>
      </w:pPr>
      <w:r>
        <w:rPr>
          <w:rFonts w:ascii="Arial" w:hAnsi="Arial" w:cs="Arial"/>
        </w:rPr>
        <w:t>C</w:t>
      </w:r>
      <w:r w:rsidR="002406D2" w:rsidRPr="006718A0">
        <w:rPr>
          <w:rFonts w:ascii="Arial" w:hAnsi="Arial" w:cs="Arial"/>
        </w:rPr>
        <w:t>ouncil</w:t>
      </w:r>
      <w:r w:rsidR="00E90B16" w:rsidRPr="006718A0">
        <w:rPr>
          <w:rFonts w:ascii="Arial" w:hAnsi="Arial" w:cs="Arial"/>
        </w:rPr>
        <w:t xml:space="preserve"> </w:t>
      </w:r>
      <w:r w:rsidR="00A16AEF" w:rsidRPr="006718A0">
        <w:rPr>
          <w:rFonts w:ascii="Arial" w:hAnsi="Arial" w:cs="Arial"/>
        </w:rPr>
        <w:t xml:space="preserve">computer equipment is provided for </w:t>
      </w:r>
      <w:r w:rsidR="00BD61B3" w:rsidRPr="006718A0">
        <w:rPr>
          <w:rFonts w:ascii="Arial" w:hAnsi="Arial" w:cs="Arial"/>
        </w:rPr>
        <w:t>c</w:t>
      </w:r>
      <w:r w:rsidR="002406D2" w:rsidRPr="006718A0">
        <w:rPr>
          <w:rFonts w:ascii="Arial" w:hAnsi="Arial" w:cs="Arial"/>
        </w:rPr>
        <w:t>ouncil</w:t>
      </w:r>
      <w:r w:rsidR="00A16AEF" w:rsidRPr="006718A0">
        <w:rPr>
          <w:rFonts w:ascii="Arial" w:hAnsi="Arial" w:cs="Arial"/>
        </w:rPr>
        <w:t xml:space="preserve"> purposes only. </w:t>
      </w: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lastRenderedPageBreak/>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51B095EC"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6718A0">
        <w:rPr>
          <w:rFonts w:ascii="Arial" w:hAnsi="Arial" w:cs="Arial"/>
        </w:rPr>
        <w:t>PC Chairman</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B4F8B91" w14:textId="7E746C80"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6B35AE12" w14:textId="0E69A636" w:rsidR="00482522" w:rsidRPr="007821EE" w:rsidRDefault="00A16AEF" w:rsidP="006718A0">
      <w:pPr>
        <w:pStyle w:val="ListParagraph"/>
        <w:ind w:left="0"/>
        <w:rPr>
          <w:rFonts w:ascii="Arial" w:hAnsi="Arial" w:cs="Arial"/>
          <w:b/>
          <w:bCs/>
        </w:rPr>
      </w:pPr>
      <w:r w:rsidRPr="007821EE">
        <w:rPr>
          <w:rFonts w:ascii="Arial" w:hAnsi="Arial" w:cs="Arial"/>
        </w:rPr>
        <w:t> </w:t>
      </w:r>
    </w:p>
    <w:p w14:paraId="0563E42D" w14:textId="77777777" w:rsidR="00482522" w:rsidRPr="007821EE" w:rsidRDefault="00482522" w:rsidP="0047391C">
      <w:pPr>
        <w:pStyle w:val="ListParagraph"/>
        <w:ind w:left="0"/>
        <w:rPr>
          <w:rFonts w:ascii="Arial" w:hAnsi="Arial" w:cs="Arial"/>
        </w:rPr>
      </w:pPr>
    </w:p>
    <w:p w14:paraId="3AFBB816" w14:textId="77777777" w:rsidR="00482522" w:rsidRPr="007821EE" w:rsidRDefault="00482522" w:rsidP="0047391C">
      <w:pPr>
        <w:pStyle w:val="ListParagraph"/>
        <w:ind w:left="0"/>
        <w:rPr>
          <w:rFonts w:ascii="Arial" w:hAnsi="Arial" w:cs="Arial"/>
        </w:rPr>
      </w:pPr>
    </w:p>
    <w:p w14:paraId="48353EDD" w14:textId="1711B498" w:rsidR="00482522" w:rsidRPr="006718A0" w:rsidRDefault="00A16AEF" w:rsidP="0047391C">
      <w:pPr>
        <w:pStyle w:val="ListParagraph"/>
        <w:numPr>
          <w:ilvl w:val="2"/>
          <w:numId w:val="2"/>
        </w:numPr>
        <w:ind w:left="0" w:firstLine="0"/>
        <w:rPr>
          <w:rFonts w:ascii="Arial" w:hAnsi="Arial" w:cs="Arial"/>
          <w:b/>
          <w:bCs/>
        </w:rPr>
      </w:pPr>
      <w:r w:rsidRPr="007821EE">
        <w:rPr>
          <w:rFonts w:ascii="Arial" w:hAnsi="Arial" w:cs="Arial"/>
        </w:rPr>
        <w:lastRenderedPageBreak/>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6718A0">
        <w:rPr>
          <w:rFonts w:ascii="Arial" w:hAnsi="Arial" w:cs="Arial"/>
        </w:rPr>
        <w:t>the clerk.</w:t>
      </w:r>
    </w:p>
    <w:p w14:paraId="391E9FBD" w14:textId="77777777" w:rsidR="006718A0" w:rsidRPr="007821EE" w:rsidRDefault="006718A0" w:rsidP="006718A0">
      <w:pPr>
        <w:pStyle w:val="ListParagraph"/>
        <w:ind w:left="0"/>
        <w:rPr>
          <w:rFonts w:ascii="Arial" w:hAnsi="Arial" w:cs="Arial"/>
          <w:b/>
          <w:bCs/>
        </w:rPr>
      </w:pPr>
    </w:p>
    <w:p w14:paraId="445EA0F7" w14:textId="1733EC26" w:rsidR="00482522" w:rsidRPr="006718A0" w:rsidRDefault="000A5693" w:rsidP="006718A0">
      <w:pPr>
        <w:pStyle w:val="ListParagraph"/>
        <w:numPr>
          <w:ilvl w:val="2"/>
          <w:numId w:val="15"/>
        </w:numPr>
        <w:ind w:left="0" w:firstLine="0"/>
        <w:rPr>
          <w:rFonts w:ascii="Arial" w:hAnsi="Arial" w:cs="Arial"/>
        </w:rPr>
      </w:pPr>
      <w:r w:rsidRPr="006718A0">
        <w:rPr>
          <w:rFonts w:ascii="Arial" w:hAnsi="Arial" w:cs="Arial"/>
        </w:rPr>
        <w:t xml:space="preserve">The </w:t>
      </w:r>
      <w:r w:rsidR="002406D2" w:rsidRPr="006718A0">
        <w:rPr>
          <w:rFonts w:ascii="Arial" w:hAnsi="Arial" w:cs="Arial"/>
        </w:rPr>
        <w:t>Council</w:t>
      </w:r>
      <w:r w:rsidRPr="006718A0">
        <w:rPr>
          <w:rFonts w:ascii="Arial" w:hAnsi="Arial" w:cs="Arial"/>
        </w:rPr>
        <w:t xml:space="preserve"> </w:t>
      </w:r>
      <w:r w:rsidR="00E409DD" w:rsidRPr="006718A0">
        <w:rPr>
          <w:rFonts w:ascii="Arial" w:hAnsi="Arial" w:cs="Arial"/>
        </w:rPr>
        <w:t>recognises</w:t>
      </w:r>
      <w:r w:rsidR="00A16AEF" w:rsidRPr="006718A0">
        <w:rPr>
          <w:rFonts w:ascii="Arial" w:hAnsi="Arial" w:cs="Arial"/>
        </w:rPr>
        <w:t xml:space="preserve"> that some </w:t>
      </w:r>
      <w:r w:rsidR="00E409DD" w:rsidRPr="006718A0">
        <w:rPr>
          <w:rFonts w:ascii="Arial" w:hAnsi="Arial" w:cs="Arial"/>
        </w:rPr>
        <w:t>c</w:t>
      </w:r>
      <w:r w:rsidR="00574E04" w:rsidRPr="006718A0">
        <w:rPr>
          <w:rFonts w:ascii="Arial" w:hAnsi="Arial" w:cs="Arial"/>
        </w:rPr>
        <w:t xml:space="preserve">ouncillors, </w:t>
      </w:r>
      <w:r w:rsidR="00C73434" w:rsidRPr="006718A0">
        <w:rPr>
          <w:rFonts w:ascii="Arial" w:hAnsi="Arial" w:cs="Arial"/>
        </w:rPr>
        <w:t>staff,</w:t>
      </w:r>
      <w:r w:rsidR="00574E04" w:rsidRPr="006718A0">
        <w:rPr>
          <w:rFonts w:ascii="Arial" w:hAnsi="Arial" w:cs="Arial"/>
        </w:rPr>
        <w:t xml:space="preserve"> and </w:t>
      </w:r>
      <w:r w:rsidR="00C73434" w:rsidRPr="006718A0">
        <w:rPr>
          <w:rFonts w:ascii="Arial" w:hAnsi="Arial" w:cs="Arial"/>
        </w:rPr>
        <w:t>other authorised users</w:t>
      </w:r>
      <w:r w:rsidR="00574E04" w:rsidRPr="006718A0">
        <w:rPr>
          <w:rFonts w:ascii="Arial" w:hAnsi="Arial" w:cs="Arial"/>
        </w:rPr>
        <w:t xml:space="preserve"> </w:t>
      </w:r>
      <w:r w:rsidR="00A16AEF" w:rsidRPr="006718A0">
        <w:rPr>
          <w:rFonts w:ascii="Arial" w:hAnsi="Arial" w:cs="Arial"/>
        </w:rPr>
        <w:t>may wish to use their own</w:t>
      </w:r>
      <w:r w:rsidR="00CA0592" w:rsidRPr="006718A0">
        <w:rPr>
          <w:rFonts w:ascii="Arial" w:hAnsi="Arial" w:cs="Arial"/>
        </w:rPr>
        <w:t xml:space="preserve"> </w:t>
      </w:r>
      <w:r w:rsidR="00A16AEF" w:rsidRPr="006718A0">
        <w:rPr>
          <w:rFonts w:ascii="Arial" w:hAnsi="Arial" w:cs="Arial"/>
        </w:rPr>
        <w:t xml:space="preserve">smartphones, tablets, laptops etc to access our servers, private clouds or networks for normal </w:t>
      </w:r>
      <w:r w:rsidR="00E409DD" w:rsidRPr="006718A0">
        <w:rPr>
          <w:rFonts w:ascii="Arial" w:hAnsi="Arial" w:cs="Arial"/>
        </w:rPr>
        <w:t>c</w:t>
      </w:r>
      <w:r w:rsidR="00450C7E" w:rsidRPr="006718A0">
        <w:rPr>
          <w:rFonts w:ascii="Arial" w:hAnsi="Arial" w:cs="Arial"/>
        </w:rPr>
        <w:t>ouncil</w:t>
      </w:r>
      <w:r w:rsidR="00A16AEF" w:rsidRPr="006718A0">
        <w:rPr>
          <w:rFonts w:ascii="Arial" w:hAnsi="Arial" w:cs="Arial"/>
        </w:rPr>
        <w:t xml:space="preserve"> purposes, including, but not limited to, reading their emails, accessing documents stored on </w:t>
      </w:r>
      <w:r w:rsidR="00291194" w:rsidRPr="006718A0">
        <w:rPr>
          <w:rFonts w:ascii="Arial" w:hAnsi="Arial" w:cs="Arial"/>
        </w:rPr>
        <w:t>the council’s</w:t>
      </w:r>
      <w:r w:rsidR="00A16AEF" w:rsidRPr="006718A0">
        <w:rPr>
          <w:rFonts w:ascii="Arial" w:hAnsi="Arial" w:cs="Arial"/>
        </w:rPr>
        <w:t xml:space="preserve"> </w:t>
      </w:r>
      <w:r w:rsidR="006718A0" w:rsidRPr="006718A0">
        <w:rPr>
          <w:rFonts w:ascii="Arial" w:hAnsi="Arial" w:cs="Arial"/>
        </w:rPr>
        <w:t>email server or website.</w:t>
      </w:r>
      <w:r w:rsidR="00A16AEF" w:rsidRPr="006718A0">
        <w:rPr>
          <w:rFonts w:ascii="Arial" w:hAnsi="Arial" w:cs="Arial"/>
        </w:rPr>
        <w:t xml:space="preserve">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3DF739D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767719E7" w14:textId="579AEE34"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6718A0">
        <w:rPr>
          <w:rFonts w:ascii="Arial" w:hAnsi="Arial" w:cs="Arial"/>
        </w:rPr>
        <w:t>10 minutes.</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06373F2B" w:rsidR="00A16AEF" w:rsidRPr="0047391C" w:rsidRDefault="00A16AEF" w:rsidP="0047391C">
      <w:pPr>
        <w:pStyle w:val="ListParagraph"/>
        <w:numPr>
          <w:ilvl w:val="0"/>
          <w:numId w:val="27"/>
        </w:numPr>
        <w:rPr>
          <w:rFonts w:ascii="Arial" w:hAnsi="Arial" w:cs="Arial"/>
        </w:rPr>
      </w:pPr>
      <w:r w:rsidRPr="006718A0">
        <w:rPr>
          <w:rFonts w:ascii="Arial" w:hAnsi="Arial" w:cs="Arial"/>
        </w:rPr>
        <w:t xml:space="preserve">inform </w:t>
      </w:r>
      <w:r w:rsidR="001A3505" w:rsidRPr="006718A0">
        <w:rPr>
          <w:rFonts w:ascii="Arial" w:hAnsi="Arial" w:cs="Arial"/>
        </w:rPr>
        <w:t>t</w:t>
      </w:r>
      <w:r w:rsidR="002C02F0" w:rsidRPr="006718A0">
        <w:rPr>
          <w:rFonts w:ascii="Arial" w:hAnsi="Arial" w:cs="Arial"/>
        </w:rPr>
        <w:t xml:space="preserve">he </w:t>
      </w:r>
      <w:r w:rsidR="001A3505" w:rsidRPr="006718A0">
        <w:rPr>
          <w:rFonts w:ascii="Arial" w:hAnsi="Arial" w:cs="Arial"/>
        </w:rPr>
        <w:t>c</w:t>
      </w:r>
      <w:r w:rsidR="002C02F0" w:rsidRPr="006718A0">
        <w:rPr>
          <w:rFonts w:ascii="Arial" w:hAnsi="Arial" w:cs="Arial"/>
        </w:rPr>
        <w:t>lerk</w:t>
      </w:r>
      <w:r w:rsidR="00C808E9" w:rsidRPr="006718A0">
        <w:rPr>
          <w:rFonts w:ascii="Arial" w:hAnsi="Arial" w:cs="Arial"/>
        </w:rPr>
        <w:t xml:space="preserve"> </w:t>
      </w:r>
      <w:r w:rsidRPr="006718A0">
        <w:rPr>
          <w:rFonts w:ascii="Arial" w:hAnsi="Arial" w:cs="Arial"/>
        </w:rPr>
        <w:t>if</w:t>
      </w:r>
      <w:r w:rsidRPr="0047391C">
        <w:rPr>
          <w:rFonts w:ascii="Arial" w:hAnsi="Arial" w:cs="Arial"/>
        </w:rPr>
        <w:t xml:space="preserve">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 xml:space="preserve">data or resources. To prevent phones being used, </w:t>
      </w:r>
      <w:r w:rsidRPr="0047391C">
        <w:rPr>
          <w:rFonts w:ascii="Arial" w:hAnsi="Arial" w:cs="Arial"/>
        </w:rPr>
        <w:lastRenderedPageBreak/>
        <w:t>they will need to retain the details of their IMEI number and the SIM number of the device as their provider will require this to deactivate it.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E9E82C6" w14:textId="60624785"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6718A0">
        <w:rPr>
          <w:rFonts w:ascii="Arial" w:hAnsi="Arial" w:cs="Arial"/>
        </w:rPr>
        <w:t>the Chairman</w:t>
      </w:r>
      <w:r w:rsidRPr="007821EE">
        <w:rPr>
          <w:rFonts w:ascii="Arial" w:hAnsi="Arial" w:cs="Arial"/>
        </w:rPr>
        <w:t>. </w:t>
      </w:r>
    </w:p>
    <w:p w14:paraId="1CF00A9E" w14:textId="050B6CF9"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6718A0">
        <w:rPr>
          <w:rFonts w:ascii="Arial" w:hAnsi="Arial" w:cs="Arial"/>
        </w:rPr>
        <w:t>the Chairman.</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lastRenderedPageBreak/>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71DDA665" w14:textId="77777777" w:rsidR="006718A0" w:rsidRDefault="004B2482" w:rsidP="006718A0">
      <w:pPr>
        <w:pStyle w:val="ListParagraph"/>
        <w:numPr>
          <w:ilvl w:val="0"/>
          <w:numId w:val="30"/>
        </w:numPr>
        <w:rPr>
          <w:rFonts w:ascii="Arial" w:hAnsi="Arial" w:cs="Arial"/>
        </w:rPr>
      </w:pPr>
      <w:r w:rsidRPr="006718A0">
        <w:rPr>
          <w:rFonts w:ascii="Arial" w:hAnsi="Arial" w:cs="Arial"/>
        </w:rPr>
        <w:t xml:space="preserve">Administrative credentials must be stored securely and only accessible to authorised personnel </w:t>
      </w:r>
    </w:p>
    <w:p w14:paraId="31F53609" w14:textId="4C1C39AE" w:rsidR="00344861" w:rsidRPr="006718A0" w:rsidRDefault="00E762B6" w:rsidP="006718A0">
      <w:pPr>
        <w:pStyle w:val="ListParagraph"/>
        <w:ind w:left="0"/>
        <w:rPr>
          <w:rFonts w:ascii="Arial" w:hAnsi="Arial" w:cs="Arial"/>
        </w:rPr>
      </w:pPr>
      <w:r w:rsidRPr="006718A0">
        <w:rPr>
          <w:rFonts w:ascii="Arial" w:hAnsi="Arial" w:cs="Arial"/>
          <w:b/>
          <w:bCs/>
        </w:rPr>
        <w:t>4.1.3</w:t>
      </w:r>
      <w:r w:rsidRPr="006718A0">
        <w:rPr>
          <w:rFonts w:ascii="Arial" w:hAnsi="Arial" w:cs="Arial"/>
        </w:rPr>
        <w:t xml:space="preserve"> </w:t>
      </w:r>
      <w:r w:rsidRPr="006718A0">
        <w:rPr>
          <w:rFonts w:ascii="Arial" w:hAnsi="Arial" w:cs="Arial"/>
        </w:rPr>
        <w:tab/>
      </w:r>
      <w:r w:rsidR="00344861" w:rsidRPr="006718A0">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243365AD"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working from home or at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lastRenderedPageBreak/>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12549458" w:rsidR="00E90697" w:rsidRPr="0047391C" w:rsidRDefault="00E90697" w:rsidP="0047391C">
      <w:pPr>
        <w:pStyle w:val="ListParagraph"/>
        <w:numPr>
          <w:ilvl w:val="0"/>
          <w:numId w:val="34"/>
        </w:numPr>
        <w:rPr>
          <w:rFonts w:ascii="Arial" w:hAnsi="Arial" w:cs="Arial"/>
        </w:rPr>
      </w:pPr>
      <w:r w:rsidRPr="0047391C">
        <w:rPr>
          <w:rFonts w:ascii="Arial" w:hAnsi="Arial" w:cs="Arial"/>
        </w:rPr>
        <w:t>papers, files or computer equipment must not be left unattended at a premises unless arrangements have been made with a responsible person at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BD8DCAF"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3B6125">
        <w:rPr>
          <w:rFonts w:ascii="Arial" w:hAnsi="Arial" w:cs="Arial"/>
        </w:rPr>
        <w:t>the clerk or TEEC provider</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lastRenderedPageBreak/>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45780EA0"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3B6125">
        <w:rPr>
          <w:rFonts w:ascii="Arial" w:hAnsi="Arial" w:cs="Arial"/>
        </w:rPr>
        <w:t>the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0E6212A4" w:rsidR="00C358CD" w:rsidRPr="003B6125"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403E5" w:rsidRPr="003B6125">
        <w:rPr>
          <w:rFonts w:ascii="Arial" w:hAnsi="Arial" w:cs="Arial"/>
        </w:rPr>
        <w:t xml:space="preserve">with </w:t>
      </w:r>
      <w:r w:rsidR="005E5352" w:rsidRPr="003B6125">
        <w:rPr>
          <w:rFonts w:ascii="Arial" w:hAnsi="Arial" w:cs="Arial"/>
        </w:rPr>
        <w:t>t</w:t>
      </w:r>
      <w:r w:rsidR="007D29EF" w:rsidRPr="003B6125">
        <w:rPr>
          <w:rFonts w:ascii="Arial" w:hAnsi="Arial" w:cs="Arial"/>
        </w:rPr>
        <w:t xml:space="preserve">he </w:t>
      </w:r>
      <w:r w:rsidR="005E5352" w:rsidRPr="003B6125">
        <w:rPr>
          <w:rFonts w:ascii="Arial" w:hAnsi="Arial" w:cs="Arial"/>
        </w:rPr>
        <w:t>c</w:t>
      </w:r>
      <w:r w:rsidR="002406D2" w:rsidRPr="003B6125">
        <w:rPr>
          <w:rFonts w:ascii="Arial" w:hAnsi="Arial" w:cs="Arial"/>
        </w:rPr>
        <w:t>ouncil</w:t>
      </w:r>
      <w:r w:rsidR="007D29EF" w:rsidRPr="003B6125">
        <w:rPr>
          <w:rFonts w:ascii="Arial" w:hAnsi="Arial" w:cs="Arial"/>
        </w:rPr>
        <w:t xml:space="preserve">/ </w:t>
      </w:r>
      <w:r w:rsidR="005E5352" w:rsidRPr="003B6125">
        <w:rPr>
          <w:rFonts w:ascii="Arial" w:hAnsi="Arial" w:cs="Arial"/>
        </w:rPr>
        <w:t>t</w:t>
      </w:r>
      <w:r w:rsidR="007D29EF" w:rsidRPr="003B6125">
        <w:rPr>
          <w:rFonts w:ascii="Arial" w:hAnsi="Arial" w:cs="Arial"/>
        </w:rPr>
        <w:t xml:space="preserve">he </w:t>
      </w:r>
      <w:r w:rsidR="005E5352" w:rsidRPr="003B6125">
        <w:rPr>
          <w:rFonts w:ascii="Arial" w:hAnsi="Arial" w:cs="Arial"/>
        </w:rPr>
        <w:t>c</w:t>
      </w:r>
      <w:r w:rsidR="007D29EF" w:rsidRPr="003B6125">
        <w:rPr>
          <w:rFonts w:ascii="Arial" w:hAnsi="Arial" w:cs="Arial"/>
        </w:rPr>
        <w:t>lerk</w:t>
      </w:r>
      <w:r w:rsidR="007403E5" w:rsidRPr="003B6125">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678919D2"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 a copy of which is</w:t>
      </w:r>
      <w:r w:rsidR="003B6125">
        <w:rPr>
          <w:rFonts w:ascii="Arial" w:hAnsi="Arial" w:cs="Arial"/>
        </w:rPr>
        <w:t xml:space="preserve"> </w:t>
      </w:r>
      <w:proofErr w:type="spellStart"/>
      <w:r w:rsidR="003B6125">
        <w:rPr>
          <w:rFonts w:ascii="Arial" w:hAnsi="Arial" w:cs="Arial"/>
        </w:rPr>
        <w:t>o</w:t>
      </w:r>
      <w:proofErr w:type="spellEnd"/>
      <w:r w:rsidR="003B6125">
        <w:rPr>
          <w:rFonts w:ascii="Arial" w:hAnsi="Arial" w:cs="Arial"/>
        </w:rPr>
        <w:t xml:space="preserve"> the website.</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0D725D6A"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or if remarks about</w:t>
      </w:r>
      <w:r w:rsidR="003B6125">
        <w:rPr>
          <w:rFonts w:ascii="Arial" w:hAnsi="Arial" w:cs="Arial"/>
        </w:rPr>
        <w:t xml:space="preserve"> external stakeholders </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63B0489F" w:rsidR="00E90697" w:rsidRPr="003B6125"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w:t>
      </w:r>
    </w:p>
    <w:p w14:paraId="134659CD" w14:textId="77777777" w:rsidR="003B6125" w:rsidRPr="007821EE" w:rsidRDefault="003B6125" w:rsidP="003B6125">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F0578D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w:t>
      </w:r>
      <w:r w:rsidRPr="003B6125">
        <w:rPr>
          <w:rFonts w:ascii="Arial" w:hAnsi="Arial" w:cs="Arial"/>
        </w:rPr>
        <w:t xml:space="preserve">expressed on the blog or website are theirs alone and do not represent the views of </w:t>
      </w:r>
      <w:r w:rsidR="00BF7B7C" w:rsidRPr="003B6125">
        <w:rPr>
          <w:rFonts w:ascii="Arial" w:hAnsi="Arial" w:cs="Arial"/>
        </w:rPr>
        <w:t>the c</w:t>
      </w:r>
      <w:r w:rsidR="002406D2" w:rsidRPr="003B6125">
        <w:rPr>
          <w:rFonts w:ascii="Arial" w:hAnsi="Arial" w:cs="Arial"/>
        </w:rPr>
        <w:t>ouncil</w:t>
      </w:r>
      <w:r w:rsidR="003B6125" w:rsidRPr="003B6125">
        <w:rPr>
          <w:rFonts w:ascii="Arial" w:hAnsi="Arial" w:cs="Arial"/>
        </w:rPr>
        <w:t>.</w:t>
      </w:r>
      <w:r w:rsidRPr="003B6125">
        <w:rPr>
          <w:rFonts w:ascii="Arial" w:hAnsi="Arial" w:cs="Arial"/>
        </w:rPr>
        <w:t xml:space="preserve"> Even if </w:t>
      </w:r>
      <w:r w:rsidR="00726BA5" w:rsidRPr="003B6125">
        <w:rPr>
          <w:rFonts w:ascii="Arial" w:hAnsi="Arial" w:cs="Arial"/>
        </w:rPr>
        <w:t xml:space="preserve">the </w:t>
      </w:r>
      <w:r w:rsidR="0042343C" w:rsidRPr="003B6125">
        <w:rPr>
          <w:rFonts w:ascii="Arial" w:hAnsi="Arial" w:cs="Arial"/>
        </w:rPr>
        <w:t>c</w:t>
      </w:r>
      <w:r w:rsidR="000B68F4" w:rsidRPr="003B6125">
        <w:rPr>
          <w:rFonts w:ascii="Arial" w:hAnsi="Arial" w:cs="Arial"/>
        </w:rPr>
        <w:t>ouncil</w:t>
      </w:r>
      <w:r w:rsidR="00726BA5" w:rsidRPr="003B6125">
        <w:rPr>
          <w:rFonts w:ascii="Arial" w:hAnsi="Arial" w:cs="Arial"/>
        </w:rPr>
        <w:t xml:space="preserve"> </w:t>
      </w:r>
      <w:r w:rsidRPr="003B6125">
        <w:rPr>
          <w:rFonts w:ascii="Arial" w:hAnsi="Arial" w:cs="Arial"/>
        </w:rPr>
        <w:t>is not mentioned, care should be taken with any views expressed</w:t>
      </w:r>
      <w:r w:rsidRPr="0047391C">
        <w:rPr>
          <w:rFonts w:ascii="Arial" w:hAnsi="Arial" w:cs="Arial"/>
        </w:rPr>
        <w:t xml:space="preserve">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6A265D6F"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w:t>
      </w:r>
      <w:proofErr w:type="gramStart"/>
      <w:r w:rsidR="00E90697" w:rsidRPr="0047391C">
        <w:rPr>
          <w:rFonts w:ascii="Arial" w:hAnsi="Arial" w:cs="Arial"/>
        </w:rPr>
        <w:t>potential  and</w:t>
      </w:r>
      <w:proofErr w:type="gramEnd"/>
      <w:r w:rsidR="00E90697" w:rsidRPr="0047391C">
        <w:rPr>
          <w:rFonts w:ascii="Arial" w:hAnsi="Arial" w:cs="Arial"/>
        </w:rPr>
        <w:t xml:space="preserve">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5CDB6814" w:rsidR="00E90697" w:rsidRPr="0047391C" w:rsidRDefault="00E90697" w:rsidP="003B6125">
      <w:pPr>
        <w:pStyle w:val="ListParagraph"/>
        <w:rPr>
          <w:rFonts w:ascii="Arial" w:hAnsi="Arial" w:cs="Arial"/>
        </w:rPr>
      </w:pPr>
    </w:p>
    <w:p w14:paraId="375AA4AA" w14:textId="5A090EB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w:t>
      </w:r>
      <w:r w:rsidRPr="003B6125">
        <w:rPr>
          <w:rFonts w:ascii="Arial" w:hAnsi="Arial" w:cs="Arial"/>
        </w:rPr>
        <w:t xml:space="preserve">to the </w:t>
      </w:r>
      <w:r w:rsidR="000E415F" w:rsidRPr="003B6125">
        <w:rPr>
          <w:rFonts w:ascii="Arial" w:hAnsi="Arial" w:cs="Arial"/>
        </w:rPr>
        <w:t>c</w:t>
      </w:r>
      <w:r w:rsidR="00A47090" w:rsidRPr="003B6125">
        <w:rPr>
          <w:rFonts w:ascii="Arial" w:hAnsi="Arial" w:cs="Arial"/>
        </w:rPr>
        <w:t>lerk</w:t>
      </w:r>
      <w:r w:rsidR="003B6125" w:rsidRPr="003B6125">
        <w:rPr>
          <w:rFonts w:ascii="Arial" w:hAnsi="Arial" w:cs="Arial"/>
        </w:rPr>
        <w:t>.</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 xml:space="preserve">lors, staff, and other </w:t>
      </w:r>
      <w:r w:rsidR="005E75B0" w:rsidRPr="007821EE">
        <w:rPr>
          <w:rFonts w:ascii="Arial" w:hAnsi="Arial" w:cs="Arial"/>
        </w:rPr>
        <w:lastRenderedPageBreak/>
        <w:t>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DD00" w14:textId="77777777" w:rsidR="00CB42CD" w:rsidRDefault="00CB42CD" w:rsidP="00225AAB">
      <w:r>
        <w:separator/>
      </w:r>
    </w:p>
  </w:endnote>
  <w:endnote w:type="continuationSeparator" w:id="0">
    <w:p w14:paraId="750B3615" w14:textId="77777777" w:rsidR="00CB42CD" w:rsidRDefault="00CB42C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5674" w14:textId="77777777" w:rsidR="00CB42CD" w:rsidRDefault="00CB42CD" w:rsidP="00225AAB">
      <w:r>
        <w:separator/>
      </w:r>
    </w:p>
  </w:footnote>
  <w:footnote w:type="continuationSeparator" w:id="0">
    <w:p w14:paraId="5A85110C" w14:textId="77777777" w:rsidR="00CB42CD" w:rsidRDefault="00CB42C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6125"/>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718A0"/>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17A2"/>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42CD"/>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Calvert Green</cp:lastModifiedBy>
  <cp:revision>2</cp:revision>
  <cp:lastPrinted>2025-09-09T11:34:00Z</cp:lastPrinted>
  <dcterms:created xsi:type="dcterms:W3CDTF">2026-05-19T09:29:00Z</dcterms:created>
  <dcterms:modified xsi:type="dcterms:W3CDTF">2026-05-19T09:29:00Z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